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21E6B25C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5B4701">
        <w:rPr>
          <w:rFonts w:ascii="Arial" w:eastAsia="Batang" w:hAnsi="Arial" w:cs="Arial"/>
          <w:b/>
          <w:bCs/>
          <w:sz w:val="24"/>
          <w:szCs w:val="24"/>
        </w:rPr>
        <w:t>4142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0BC0DF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A92907">
        <w:rPr>
          <w:rFonts w:ascii="Arial" w:hAnsi="Arial" w:cs="Arial"/>
        </w:rPr>
        <w:t>Timing Assumption for Inter-Cell DL Measurement</w:t>
      </w:r>
      <w:r w:rsidR="00890B51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26C3CDD4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bookmarkStart w:id="1" w:name="_GoBack"/>
      <w:r w:rsidR="00A20FB3" w:rsidRPr="00A20FB3">
        <w:rPr>
          <w:rFonts w:ascii="Arial" w:hAnsi="Arial" w:cs="Arial"/>
          <w:bCs/>
        </w:rPr>
        <w:t xml:space="preserve">RAN1, </w:t>
      </w:r>
      <w:r w:rsidR="00E06C2B" w:rsidRPr="00A20FB3">
        <w:rPr>
          <w:rFonts w:ascii="Arial" w:hAnsi="Arial" w:cs="Arial"/>
          <w:bCs/>
        </w:rPr>
        <w:t>Samsung</w:t>
      </w:r>
      <w:bookmarkEnd w:id="1"/>
    </w:p>
    <w:p w14:paraId="2C7502EB" w14:textId="3507FD92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RAN4</w:t>
      </w:r>
    </w:p>
    <w:p w14:paraId="1FFDAC0B" w14:textId="24991B0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B212F">
        <w:rPr>
          <w:rFonts w:ascii="Arial" w:hAnsi="Arial" w:cs="Arial"/>
          <w:bCs/>
        </w:rPr>
        <w:t>RAN2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0DBA01AF" w:rsidR="00C00B6E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9240BD">
        <w:rPr>
          <w:sz w:val="22"/>
        </w:rPr>
        <w:t xml:space="preserve">has agreed to support L1-RSRP </w:t>
      </w:r>
      <w:r w:rsidR="005A18B0">
        <w:rPr>
          <w:sz w:val="22"/>
        </w:rPr>
        <w:t xml:space="preserve">reporting </w:t>
      </w:r>
      <w:r w:rsidR="009240BD">
        <w:rPr>
          <w:sz w:val="22"/>
        </w:rPr>
        <w:t xml:space="preserve">(and its respective measurement) </w:t>
      </w:r>
      <w:r w:rsidR="00DC2FF2">
        <w:rPr>
          <w:sz w:val="22"/>
        </w:rPr>
        <w:t>associated with non-serving cell</w:t>
      </w:r>
      <w:r w:rsidR="009240BD">
        <w:rPr>
          <w:sz w:val="22"/>
        </w:rPr>
        <w:t xml:space="preserve">. </w:t>
      </w:r>
      <w:r w:rsidR="00600CC2">
        <w:rPr>
          <w:sz w:val="22"/>
        </w:rPr>
        <w:t>Pertinent</w:t>
      </w:r>
      <w:r w:rsidR="009240BD">
        <w:rPr>
          <w:sz w:val="22"/>
        </w:rPr>
        <w:t xml:space="preserve"> to this aspect, the following agreement</w:t>
      </w:r>
      <w:r w:rsidR="00DC2FF2">
        <w:rPr>
          <w:sz w:val="22"/>
        </w:rPr>
        <w:t xml:space="preserve">s </w:t>
      </w:r>
      <w:r w:rsidR="009240BD">
        <w:rPr>
          <w:sz w:val="22"/>
        </w:rPr>
        <w:t>ha</w:t>
      </w:r>
      <w:r w:rsidR="00DC2FF2">
        <w:rPr>
          <w:sz w:val="22"/>
        </w:rPr>
        <w:t>ve</w:t>
      </w:r>
      <w:r w:rsidR="009240BD">
        <w:rPr>
          <w:sz w:val="22"/>
        </w:rPr>
        <w:t xml:space="preserve"> been made. </w:t>
      </w:r>
    </w:p>
    <w:p w14:paraId="3D985C32" w14:textId="6F96C4C0" w:rsidR="009240BD" w:rsidRDefault="009240BD" w:rsidP="007F1A8A">
      <w:pPr>
        <w:snapToGrid w:val="0"/>
        <w:jc w:val="both"/>
        <w:rPr>
          <w:sz w:val="22"/>
        </w:rPr>
      </w:pPr>
    </w:p>
    <w:p w14:paraId="0606F41D" w14:textId="7B1C353C" w:rsidR="00600CC2" w:rsidRPr="00600CC2" w:rsidRDefault="00600CC2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4449B90A" w14:textId="77777777" w:rsidR="00600CC2" w:rsidRPr="00A26919" w:rsidRDefault="00600CC2" w:rsidP="00600CC2">
      <w:pPr>
        <w:snapToGrid w:val="0"/>
        <w:rPr>
          <w:rFonts w:eastAsia="Batang"/>
        </w:rPr>
      </w:pPr>
      <w:r w:rsidRPr="00A26919">
        <w:t xml:space="preserve">On Rel.17 multi beam measurement/reporting enhancements </w:t>
      </w:r>
      <w:r w:rsidRPr="00A26919">
        <w:rPr>
          <w:color w:val="000000"/>
        </w:rPr>
        <w:t>for L1/L2-centric inter-cell mobility and inter-cell mTRP</w:t>
      </w:r>
      <w:r w:rsidRPr="00A26919">
        <w:rPr>
          <w:rFonts w:eastAsia="Batang"/>
        </w:rPr>
        <w:t>:</w:t>
      </w:r>
    </w:p>
    <w:p w14:paraId="5B4C8435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>Rel.15 L1-RSRP is used as reporting quantity for measurement and reporting of non-serving-cell(s)</w:t>
      </w:r>
    </w:p>
    <w:p w14:paraId="2178BB59" w14:textId="77777777" w:rsidR="00600CC2" w:rsidRPr="00573268" w:rsidRDefault="00600CC2" w:rsidP="00600CC2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 xml:space="preserve">Support SSB as a measurement RS for </w:t>
      </w:r>
      <w:r w:rsidRPr="00573268">
        <w:rPr>
          <w:color w:val="000000"/>
          <w:sz w:val="20"/>
          <w:szCs w:val="20"/>
        </w:rPr>
        <w:t xml:space="preserve">L1/L2-centric inter-cell mobility </w:t>
      </w:r>
      <w:r w:rsidRPr="00573268">
        <w:rPr>
          <w:sz w:val="20"/>
          <w:szCs w:val="20"/>
        </w:rPr>
        <w:t>and inter-cell mTRP, and Rel.15 SS-RSRP calculated from SSB of non-serving cell(s)</w:t>
      </w:r>
    </w:p>
    <w:p w14:paraId="2FB813DC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>FFS: Whether the measurement for SS-RSRP is limited within SMTC</w:t>
      </w:r>
    </w:p>
    <w:p w14:paraId="43DEA02F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092F5A48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 is confirmed, Rel.15 CSI-RSRP is also supported  </w:t>
      </w:r>
    </w:p>
    <w:p w14:paraId="78A72F8E" w14:textId="77777777" w:rsidR="00573268" w:rsidRPr="00A26919" w:rsidRDefault="00573268" w:rsidP="00573268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Whether the support applies to CSI-RS with or without QCL source, or both</w:t>
      </w:r>
    </w:p>
    <w:p w14:paraId="40D84BA7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The number of non-serving cell(s) for measurement/reporting </w:t>
      </w:r>
    </w:p>
    <w:p w14:paraId="44DB2341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time behavior of the reporting, i.e. periodic, semi-persistent, aperiodic, or UE-initiated</w:t>
      </w:r>
    </w:p>
    <w:p w14:paraId="25E4496F" w14:textId="77777777" w:rsidR="00573268" w:rsidRPr="00A26919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If other reporting quantities are supported, e.g. L3-RSRP, hybrid L1/L3-RSRP</w:t>
      </w:r>
    </w:p>
    <w:p w14:paraId="716A50A0" w14:textId="194F6F59" w:rsidR="00600CC2" w:rsidRPr="00573268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16A3F3A0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 xml:space="preserve">FFS: Timing assumption </w:t>
      </w:r>
      <w:r w:rsidRPr="00573268">
        <w:rPr>
          <w:sz w:val="20"/>
          <w:szCs w:val="20"/>
          <w:lang w:eastAsia="zh-CN"/>
        </w:rPr>
        <w:t>(e.g. time of arrival and time of the measurement)</w:t>
      </w:r>
      <w:r w:rsidRPr="00573268">
        <w:rPr>
          <w:bCs/>
          <w:sz w:val="20"/>
          <w:szCs w:val="20"/>
        </w:rPr>
        <w:t xml:space="preserve"> for measurement of non-serving cell RS measurement</w:t>
      </w:r>
    </w:p>
    <w:p w14:paraId="602D48AB" w14:textId="345E624F" w:rsidR="00600CC2" w:rsidRDefault="00600CC2" w:rsidP="007F1A8A">
      <w:pPr>
        <w:snapToGrid w:val="0"/>
        <w:jc w:val="both"/>
        <w:rPr>
          <w:sz w:val="22"/>
          <w:lang w:val="x-none"/>
        </w:rPr>
      </w:pPr>
    </w:p>
    <w:p w14:paraId="23EE35C9" w14:textId="0A3BB822" w:rsidR="00D80EC6" w:rsidRPr="00D80EC6" w:rsidRDefault="00D80EC6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037CB420" w14:textId="77777777" w:rsidR="00600CC2" w:rsidRPr="00573268" w:rsidRDefault="00600CC2" w:rsidP="00600CC2">
      <w:pPr>
        <w:snapToGrid w:val="0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On Rel.17 multi-beam measurement/reporting enhancements </w:t>
      </w:r>
      <w:r w:rsidRPr="00573268">
        <w:rPr>
          <w:rFonts w:eastAsia="Batang"/>
          <w:color w:val="000000"/>
          <w:szCs w:val="24"/>
        </w:rPr>
        <w:t>for L1/L2-centric inter-cell mobility and inter-cell mTRP</w:t>
      </w:r>
      <w:r w:rsidRPr="00573268">
        <w:rPr>
          <w:rFonts w:eastAsia="Batang"/>
          <w:szCs w:val="24"/>
        </w:rPr>
        <w:t xml:space="preserve">, </w:t>
      </w:r>
    </w:p>
    <w:p w14:paraId="6216E19A" w14:textId="77777777" w:rsidR="00600CC2" w:rsidRPr="00573268" w:rsidRDefault="00600CC2" w:rsidP="00600CC2">
      <w:pPr>
        <w:numPr>
          <w:ilvl w:val="0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In one reporting instance, depending on NW configuration, beam(s) associated with a non-serving cell can be mixed with that associated with serving-cell </w:t>
      </w:r>
    </w:p>
    <w:p w14:paraId="22D9B0B5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>FFS: whether this applies to periodic, semi-persistent, and/or aperiodic</w:t>
      </w:r>
    </w:p>
    <w:p w14:paraId="1412B578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FFS: How to report the K beams and corresponding qualities if the Tx power among the non-serving cell and with serving-cell is not the same</w:t>
      </w:r>
    </w:p>
    <w:p w14:paraId="6D58D1FC" w14:textId="743799C3" w:rsidR="00600CC2" w:rsidRPr="00573268" w:rsidRDefault="00600CC2" w:rsidP="00573268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Note: The supported numbers of non-serving cells (in terms of measurement/reporting) have not yet been decided. The above description doesn’t imply only one non-serving cell is allowed to be configured for measurement. Nor does this imply that only one non-serving cell is allowed in one reporting instance.</w:t>
      </w:r>
    </w:p>
    <w:p w14:paraId="13F08CBF" w14:textId="7236B08B" w:rsidR="004F4BCC" w:rsidRPr="00D43E0A" w:rsidRDefault="004F4BCC" w:rsidP="00EA3B02">
      <w:pPr>
        <w:snapToGrid w:val="0"/>
        <w:jc w:val="both"/>
        <w:rPr>
          <w:sz w:val="24"/>
          <w:szCs w:val="22"/>
          <w:lang w:val="x-none"/>
        </w:rPr>
      </w:pPr>
    </w:p>
    <w:p w14:paraId="1331FE82" w14:textId="444736D8" w:rsidR="005353BD" w:rsidRPr="00F86AF7" w:rsidRDefault="00EA3B02" w:rsidP="00EA3B02">
      <w:p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 xml:space="preserve">purpose,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A18B0">
        <w:rPr>
          <w:sz w:val="22"/>
          <w:szCs w:val="22"/>
          <w:lang w:eastAsia="zh-CN"/>
        </w:rPr>
        <w:t>few answers from RAN4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</w:t>
      </w:r>
      <w:r w:rsidR="005E6C3C">
        <w:rPr>
          <w:sz w:val="22"/>
          <w:szCs w:val="22"/>
          <w:lang w:eastAsia="zh-CN"/>
        </w:rPr>
        <w:t xml:space="preserve">(in the context of L1/L2-centric inter-cell mobility) </w:t>
      </w:r>
      <w:r w:rsidR="00395CAD">
        <w:rPr>
          <w:sz w:val="22"/>
          <w:szCs w:val="22"/>
          <w:lang w:eastAsia="zh-CN"/>
        </w:rPr>
        <w:t xml:space="preserve">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C65876">
        <w:rPr>
          <w:sz w:val="22"/>
          <w:szCs w:val="22"/>
          <w:lang w:eastAsia="zh-CN"/>
        </w:rPr>
        <w:t xml:space="preserve">Note </w:t>
      </w:r>
      <w:r w:rsidR="005353BD">
        <w:rPr>
          <w:sz w:val="22"/>
          <w:szCs w:val="22"/>
          <w:lang w:eastAsia="zh-CN"/>
        </w:rPr>
        <w:t>that thus far</w:t>
      </w:r>
      <w:r w:rsidR="00F86AF7">
        <w:rPr>
          <w:sz w:val="22"/>
          <w:szCs w:val="22"/>
          <w:lang w:eastAsia="zh-CN"/>
        </w:rPr>
        <w:t xml:space="preserve"> </w:t>
      </w:r>
      <w:r w:rsidR="00F86AF7" w:rsidRPr="00F86AF7">
        <w:rPr>
          <w:sz w:val="22"/>
          <w:szCs w:val="22"/>
          <w:lang w:eastAsia="zh-CN"/>
        </w:rPr>
        <w:t>(cf. R1-2102008, R1-2102248)</w:t>
      </w:r>
      <w:r w:rsidR="005353BD" w:rsidRPr="00F86AF7">
        <w:rPr>
          <w:sz w:val="22"/>
          <w:szCs w:val="22"/>
          <w:lang w:eastAsia="zh-CN"/>
        </w:rPr>
        <w:t>:</w:t>
      </w:r>
    </w:p>
    <w:p w14:paraId="053AF9C7" w14:textId="0D6C4967" w:rsidR="00395CA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 w:rsidRPr="005353BD">
        <w:rPr>
          <w:sz w:val="22"/>
          <w:szCs w:val="22"/>
          <w:lang w:eastAsia="zh-CN"/>
        </w:rPr>
        <w:lastRenderedPageBreak/>
        <w:t>O</w:t>
      </w:r>
      <w:r w:rsidR="00C65876" w:rsidRPr="005353BD">
        <w:rPr>
          <w:sz w:val="22"/>
          <w:szCs w:val="22"/>
          <w:lang w:eastAsia="zh-CN"/>
        </w:rPr>
        <w:t>nly SSB has been agreed to be used for non-serving cell measurement RS. CSI-RS is st</w:t>
      </w:r>
      <w:r w:rsidR="00CF6315" w:rsidRPr="005353BD">
        <w:rPr>
          <w:sz w:val="22"/>
          <w:szCs w:val="22"/>
          <w:lang w:eastAsia="zh-CN"/>
        </w:rPr>
        <w:t>i</w:t>
      </w:r>
      <w:r w:rsidR="00C5480A">
        <w:rPr>
          <w:sz w:val="22"/>
          <w:szCs w:val="22"/>
          <w:lang w:eastAsia="zh-CN"/>
        </w:rPr>
        <w:t xml:space="preserve">ll </w:t>
      </w:r>
      <w:r w:rsidR="00F86AF7">
        <w:rPr>
          <w:sz w:val="22"/>
          <w:szCs w:val="22"/>
          <w:lang w:val="en-US" w:eastAsia="zh-CN"/>
        </w:rPr>
        <w:t>TBD</w:t>
      </w:r>
    </w:p>
    <w:p w14:paraId="3A691A56" w14:textId="35C783E4" w:rsidR="005353BD" w:rsidRPr="005353B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Only intra-frequency measurement </w:t>
      </w:r>
      <w:r w:rsidR="00C5480A">
        <w:rPr>
          <w:sz w:val="22"/>
          <w:szCs w:val="22"/>
          <w:lang w:val="en-US" w:eastAsia="zh-CN"/>
        </w:rPr>
        <w:t>has been agreed</w:t>
      </w:r>
      <w:r w:rsidR="00F86AF7">
        <w:rPr>
          <w:sz w:val="22"/>
          <w:szCs w:val="22"/>
          <w:lang w:val="en-US" w:eastAsia="zh-CN"/>
        </w:rPr>
        <w:t xml:space="preserve"> and inter-frequency measurement is still TBD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2C9E92C8" w14:textId="3DE9CD44" w:rsidR="00D43E0A" w:rsidRPr="00033CA1" w:rsidRDefault="00ED5F6D" w:rsidP="00ED5F6D">
      <w:pPr>
        <w:snapToGrid w:val="0"/>
        <w:jc w:val="both"/>
        <w:rPr>
          <w:sz w:val="22"/>
          <w:szCs w:val="22"/>
          <w:lang w:val="en-US"/>
        </w:rPr>
      </w:pPr>
      <w:r w:rsidRPr="00033CA1">
        <w:rPr>
          <w:b/>
          <w:bCs/>
          <w:sz w:val="22"/>
          <w:szCs w:val="22"/>
          <w:lang w:eastAsia="zh-CN"/>
        </w:rPr>
        <w:t>Question 1</w:t>
      </w:r>
      <w:r w:rsidRPr="00033CA1">
        <w:rPr>
          <w:sz w:val="22"/>
          <w:szCs w:val="22"/>
          <w:lang w:eastAsia="zh-CN"/>
        </w:rPr>
        <w:t xml:space="preserve">: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w</w:t>
      </w:r>
      <w:r w:rsidR="00D43E0A" w:rsidRPr="00033CA1">
        <w:rPr>
          <w:sz w:val="22"/>
          <w:szCs w:val="22"/>
          <w:lang w:eastAsia="zh-CN"/>
        </w:rPr>
        <w:t>hat are the implication</w:t>
      </w:r>
      <w:r w:rsidR="009958A8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9958A8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320BA3">
        <w:rPr>
          <w:sz w:val="22"/>
          <w:szCs w:val="22"/>
          <w:lang w:eastAsia="zh-CN"/>
        </w:rPr>
        <w:t>(</w:t>
      </w:r>
      <w:r w:rsidR="00B51ABE" w:rsidRPr="00033CA1">
        <w:rPr>
          <w:sz w:val="22"/>
          <w:szCs w:val="22"/>
          <w:lang w:eastAsia="zh-CN"/>
        </w:rPr>
        <w:t>from RAN4 perspective</w:t>
      </w:r>
      <w:r w:rsidR="00320BA3">
        <w:rPr>
          <w:sz w:val="22"/>
          <w:szCs w:val="22"/>
          <w:lang w:eastAsia="zh-CN"/>
        </w:rPr>
        <w:t>)</w:t>
      </w:r>
      <w:r w:rsidR="00B51ABE" w:rsidRPr="00033CA1">
        <w:rPr>
          <w:sz w:val="22"/>
          <w:szCs w:val="22"/>
          <w:lang w:eastAsia="zh-CN"/>
        </w:rPr>
        <w:t xml:space="preserve"> </w:t>
      </w:r>
      <w:r w:rsidR="00D43E0A" w:rsidRPr="00033CA1">
        <w:rPr>
          <w:sz w:val="22"/>
          <w:szCs w:val="22"/>
          <w:lang w:eastAsia="zh-CN"/>
        </w:rPr>
        <w:t xml:space="preserve">of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B51ABE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</w:t>
      </w:r>
      <w:r w:rsidR="00B51ABE" w:rsidRPr="00033CA1">
        <w:rPr>
          <w:sz w:val="22"/>
          <w:szCs w:val="22"/>
        </w:rPr>
        <w:t xml:space="preserve">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725519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B51ABE" w:rsidRPr="00033CA1">
        <w:rPr>
          <w:sz w:val="22"/>
          <w:szCs w:val="22"/>
          <w:lang w:val="en-US"/>
        </w:rPr>
        <w:t xml:space="preserve"> </w:t>
      </w:r>
      <w:r w:rsidR="00725519">
        <w:rPr>
          <w:sz w:val="22"/>
          <w:szCs w:val="22"/>
          <w:lang w:val="en-US"/>
        </w:rPr>
        <w:t>window(s)</w:t>
      </w:r>
      <w:r w:rsidR="006A1F9A">
        <w:rPr>
          <w:sz w:val="22"/>
          <w:szCs w:val="22"/>
          <w:lang w:val="en-US"/>
        </w:rPr>
        <w:t xml:space="preserve"> (only applicable to SSB)</w:t>
      </w:r>
      <w:r w:rsidR="00725519">
        <w:rPr>
          <w:sz w:val="22"/>
          <w:szCs w:val="22"/>
          <w:lang w:val="en-US"/>
        </w:rPr>
        <w:t xml:space="preserve"> </w:t>
      </w:r>
      <w:r w:rsidR="00DE44D9">
        <w:rPr>
          <w:sz w:val="22"/>
          <w:szCs w:val="22"/>
          <w:lang w:val="en-US"/>
        </w:rPr>
        <w:t xml:space="preserve">for the </w:t>
      </w:r>
      <w:r w:rsidR="00BE2D2F">
        <w:rPr>
          <w:sz w:val="22"/>
          <w:szCs w:val="22"/>
          <w:lang w:val="en-US"/>
        </w:rPr>
        <w:t>above agreed</w:t>
      </w:r>
      <w:r w:rsidR="00DE44D9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D43E0A" w:rsidRPr="00033CA1">
        <w:rPr>
          <w:sz w:val="22"/>
          <w:szCs w:val="22"/>
          <w:lang w:val="en-US"/>
        </w:rPr>
        <w:t xml:space="preserve">? Conversely, what are the </w:t>
      </w:r>
      <w:r w:rsidR="00D43E0A" w:rsidRPr="00033CA1">
        <w:rPr>
          <w:sz w:val="22"/>
          <w:szCs w:val="22"/>
          <w:lang w:eastAsia="zh-CN"/>
        </w:rPr>
        <w:t>implication</w:t>
      </w:r>
      <w:r w:rsidR="005E0014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5E0014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of not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1C734B">
        <w:rPr>
          <w:sz w:val="22"/>
          <w:szCs w:val="22"/>
          <w:lang w:val="en-US"/>
        </w:rPr>
        <w:t xml:space="preserve">to be carried out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1C734B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1C734B">
        <w:rPr>
          <w:sz w:val="22"/>
          <w:szCs w:val="22"/>
          <w:lang w:val="en-US"/>
        </w:rPr>
        <w:t xml:space="preserve"> window</w:t>
      </w:r>
      <w:r w:rsidR="00725519">
        <w:rPr>
          <w:sz w:val="22"/>
          <w:szCs w:val="22"/>
          <w:lang w:val="en-US"/>
        </w:rPr>
        <w:t>(s)</w:t>
      </w:r>
      <w:r w:rsidR="00D43E0A" w:rsidRPr="00033CA1">
        <w:rPr>
          <w:sz w:val="22"/>
          <w:szCs w:val="22"/>
          <w:lang w:val="en-US"/>
        </w:rPr>
        <w:t>?</w:t>
      </w:r>
    </w:p>
    <w:p w14:paraId="3F502594" w14:textId="1C636822" w:rsidR="00CE21EA" w:rsidRPr="00033CA1" w:rsidRDefault="00D43E0A" w:rsidP="00ED5F6D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sz w:val="22"/>
          <w:szCs w:val="22"/>
          <w:lang w:val="en-US"/>
        </w:rPr>
        <w:t xml:space="preserve"> </w:t>
      </w:r>
    </w:p>
    <w:p w14:paraId="4CEC2516" w14:textId="77777777" w:rsidR="00EA3B02" w:rsidRPr="00033CA1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69F75520" w14:textId="4321452E" w:rsidR="00194537" w:rsidRPr="00033CA1" w:rsidRDefault="00065044" w:rsidP="00D43E0A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b/>
          <w:bCs/>
          <w:sz w:val="22"/>
          <w:szCs w:val="22"/>
          <w:lang w:eastAsia="zh-CN"/>
        </w:rPr>
        <w:t xml:space="preserve">Question </w:t>
      </w:r>
      <w:r w:rsidR="00ED5F6D" w:rsidRPr="00033CA1">
        <w:rPr>
          <w:b/>
          <w:bCs/>
          <w:sz w:val="22"/>
          <w:szCs w:val="22"/>
          <w:lang w:eastAsia="zh-CN"/>
        </w:rPr>
        <w:t>2</w:t>
      </w:r>
      <w:r w:rsidRPr="00033CA1">
        <w:rPr>
          <w:sz w:val="22"/>
          <w:szCs w:val="22"/>
          <w:lang w:eastAsia="zh-CN"/>
        </w:rPr>
        <w:t>: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f</w:t>
      </w:r>
      <w:r w:rsidR="00B51ABE" w:rsidRPr="00033CA1">
        <w:rPr>
          <w:sz w:val="22"/>
          <w:szCs w:val="22"/>
          <w:lang w:eastAsia="zh-CN"/>
        </w:rPr>
        <w:t>or measurement</w:t>
      </w:r>
      <w:r w:rsidR="00B51ABE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156A61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cell,</w:t>
      </w:r>
      <w:r w:rsidR="00B51ABE" w:rsidRPr="00033CA1">
        <w:rPr>
          <w:sz w:val="22"/>
          <w:szCs w:val="22"/>
        </w:rPr>
        <w:t xml:space="preserve"> with the</w:t>
      </w:r>
      <w:r w:rsidR="00B51ABE" w:rsidRPr="00033CA1">
        <w:rPr>
          <w:sz w:val="22"/>
          <w:szCs w:val="22"/>
          <w:lang w:val="en-US"/>
        </w:rPr>
        <w:t xml:space="preserve"> </w:t>
      </w:r>
      <w:r w:rsidR="00BE2D2F">
        <w:rPr>
          <w:sz w:val="22"/>
          <w:szCs w:val="22"/>
          <w:lang w:val="en-US"/>
        </w:rPr>
        <w:t>above agreed</w:t>
      </w:r>
      <w:r w:rsidR="0013575A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156A61" w:rsidRPr="00033CA1">
        <w:rPr>
          <w:sz w:val="22"/>
          <w:szCs w:val="22"/>
        </w:rPr>
        <w:t>,</w:t>
      </w:r>
      <w:r w:rsidR="00B51ABE" w:rsidRPr="00033CA1">
        <w:rPr>
          <w:sz w:val="22"/>
          <w:szCs w:val="22"/>
          <w:lang w:eastAsia="zh-CN"/>
        </w:rPr>
        <w:t xml:space="preserve"> i</w:t>
      </w:r>
      <w:r w:rsidR="00E00F2E" w:rsidRPr="00033CA1">
        <w:rPr>
          <w:sz w:val="22"/>
          <w:szCs w:val="22"/>
          <w:lang w:eastAsia="zh-CN"/>
        </w:rPr>
        <w:t xml:space="preserve">f the receive timing of the </w:t>
      </w:r>
      <w:r w:rsidR="00573268">
        <w:rPr>
          <w:sz w:val="22"/>
          <w:szCs w:val="22"/>
          <w:lang w:eastAsia="zh-CN"/>
        </w:rPr>
        <w:t>measurement RS</w:t>
      </w:r>
      <w:r w:rsidR="00E00F2E" w:rsidRPr="00033CA1">
        <w:rPr>
          <w:sz w:val="22"/>
          <w:szCs w:val="22"/>
          <w:lang w:eastAsia="zh-CN"/>
        </w:rPr>
        <w:t xml:space="preserve"> from </w:t>
      </w:r>
      <w:r w:rsidR="003D3D4F">
        <w:rPr>
          <w:sz w:val="22"/>
          <w:szCs w:val="22"/>
          <w:lang w:eastAsia="zh-CN"/>
        </w:rPr>
        <w:t xml:space="preserve">the </w:t>
      </w:r>
      <w:r w:rsidR="00E00F2E" w:rsidRPr="00033CA1">
        <w:rPr>
          <w:sz w:val="22"/>
          <w:szCs w:val="22"/>
          <w:lang w:eastAsia="zh-CN"/>
        </w:rPr>
        <w:t>non-serving cell can be different from the receive timing of the signals from the serving cell</w:t>
      </w:r>
      <w:r w:rsidR="00D43E0A" w:rsidRPr="00033CA1">
        <w:rPr>
          <w:sz w:val="22"/>
          <w:szCs w:val="22"/>
        </w:rPr>
        <w:t>, what are the implication</w:t>
      </w:r>
      <w:r w:rsidR="005E0014">
        <w:rPr>
          <w:sz w:val="22"/>
          <w:szCs w:val="22"/>
        </w:rPr>
        <w:t>(</w:t>
      </w:r>
      <w:r w:rsidR="00D43E0A" w:rsidRPr="00033CA1">
        <w:rPr>
          <w:sz w:val="22"/>
          <w:szCs w:val="22"/>
        </w:rPr>
        <w:t>s</w:t>
      </w:r>
      <w:r w:rsidR="005E0014">
        <w:rPr>
          <w:sz w:val="22"/>
          <w:szCs w:val="22"/>
        </w:rPr>
        <w:t>)/benefit(s), if any,</w:t>
      </w:r>
      <w:r w:rsidR="00033CA1" w:rsidRPr="00033CA1">
        <w:rPr>
          <w:sz w:val="22"/>
          <w:szCs w:val="22"/>
        </w:rPr>
        <w:t xml:space="preserve"> from RAN4 perspective</w:t>
      </w:r>
      <w:r w:rsidR="00D43E0A" w:rsidRPr="00033CA1">
        <w:rPr>
          <w:sz w:val="22"/>
          <w:szCs w:val="22"/>
        </w:rPr>
        <w:t>?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8BE79DC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BDB7CD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743A5D">
        <w:rPr>
          <w:iCs/>
          <w:sz w:val="22"/>
          <w:szCs w:val="22"/>
          <w:lang w:eastAsia="ko-KR"/>
        </w:rPr>
        <w:t>4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 xml:space="preserve">related to </w:t>
      </w:r>
      <w:r w:rsidR="00743A5D">
        <w:rPr>
          <w:iCs/>
          <w:sz w:val="22"/>
          <w:szCs w:val="22"/>
        </w:rPr>
        <w:t>timing assumption for inter-cell DL measurement</w:t>
      </w:r>
      <w:r w:rsidR="00934A02" w:rsidRPr="00790892">
        <w:rPr>
          <w:iCs/>
          <w:sz w:val="22"/>
          <w:szCs w:val="22"/>
          <w:lang w:eastAsia="ko-KR"/>
        </w:rPr>
        <w:t xml:space="preserve"> </w:t>
      </w:r>
      <w:r w:rsidR="006955C4">
        <w:rPr>
          <w:iCs/>
          <w:sz w:val="22"/>
          <w:szCs w:val="22"/>
          <w:lang w:eastAsia="ko-KR"/>
        </w:rPr>
        <w:t xml:space="preserve">in the context of L1/L2-centric inter-cell mobility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1668F45A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3D4C95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ED7FDF">
        <w:rPr>
          <w:bCs/>
          <w:sz w:val="22"/>
          <w:szCs w:val="22"/>
        </w:rPr>
        <w:t>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ED7FDF">
        <w:rPr>
          <w:bCs/>
          <w:sz w:val="22"/>
          <w:szCs w:val="22"/>
        </w:rPr>
        <w:t>May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C27C2" w14:textId="77777777" w:rsidR="002518B2" w:rsidRDefault="002518B2" w:rsidP="00A0385F">
      <w:r>
        <w:separator/>
      </w:r>
    </w:p>
  </w:endnote>
  <w:endnote w:type="continuationSeparator" w:id="0">
    <w:p w14:paraId="3CF248DB" w14:textId="77777777" w:rsidR="002518B2" w:rsidRDefault="002518B2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393DC" w14:textId="77777777" w:rsidR="002518B2" w:rsidRDefault="002518B2" w:rsidP="00A0385F">
      <w:r>
        <w:separator/>
      </w:r>
    </w:p>
  </w:footnote>
  <w:footnote w:type="continuationSeparator" w:id="0">
    <w:p w14:paraId="06B22547" w14:textId="77777777" w:rsidR="002518B2" w:rsidRDefault="002518B2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8"/>
  </w:num>
  <w:num w:numId="3">
    <w:abstractNumId w:val="22"/>
  </w:num>
  <w:num w:numId="4">
    <w:abstractNumId w:val="8"/>
  </w:num>
  <w:num w:numId="5">
    <w:abstractNumId w:val="11"/>
  </w:num>
  <w:num w:numId="6">
    <w:abstractNumId w:val="4"/>
  </w:num>
  <w:num w:numId="7">
    <w:abstractNumId w:val="24"/>
  </w:num>
  <w:num w:numId="8">
    <w:abstractNumId w:val="35"/>
  </w:num>
  <w:num w:numId="9">
    <w:abstractNumId w:val="6"/>
  </w:num>
  <w:num w:numId="10">
    <w:abstractNumId w:val="30"/>
  </w:num>
  <w:num w:numId="11">
    <w:abstractNumId w:val="36"/>
  </w:num>
  <w:num w:numId="12">
    <w:abstractNumId w:val="26"/>
  </w:num>
  <w:num w:numId="13">
    <w:abstractNumId w:val="26"/>
    <w:lvlOverride w:ilvl="0">
      <w:startOverride w:val="1"/>
    </w:lvlOverride>
  </w:num>
  <w:num w:numId="14">
    <w:abstractNumId w:val="42"/>
  </w:num>
  <w:num w:numId="15">
    <w:abstractNumId w:val="37"/>
  </w:num>
  <w:num w:numId="16">
    <w:abstractNumId w:val="12"/>
  </w:num>
  <w:num w:numId="17">
    <w:abstractNumId w:val="39"/>
  </w:num>
  <w:num w:numId="18">
    <w:abstractNumId w:val="13"/>
  </w:num>
  <w:num w:numId="19">
    <w:abstractNumId w:val="3"/>
  </w:num>
  <w:num w:numId="20">
    <w:abstractNumId w:val="5"/>
  </w:num>
  <w:num w:numId="21">
    <w:abstractNumId w:val="38"/>
  </w:num>
  <w:num w:numId="22">
    <w:abstractNumId w:val="23"/>
  </w:num>
  <w:num w:numId="23">
    <w:abstractNumId w:val="15"/>
  </w:num>
  <w:num w:numId="24">
    <w:abstractNumId w:val="32"/>
  </w:num>
  <w:num w:numId="25">
    <w:abstractNumId w:val="9"/>
  </w:num>
  <w:num w:numId="26">
    <w:abstractNumId w:val="19"/>
  </w:num>
  <w:num w:numId="27">
    <w:abstractNumId w:val="1"/>
  </w:num>
  <w:num w:numId="28">
    <w:abstractNumId w:val="31"/>
  </w:num>
  <w:num w:numId="29">
    <w:abstractNumId w:val="7"/>
  </w:num>
  <w:num w:numId="30">
    <w:abstractNumId w:val="40"/>
  </w:num>
  <w:num w:numId="31">
    <w:abstractNumId w:val="2"/>
  </w:num>
  <w:num w:numId="32">
    <w:abstractNumId w:val="43"/>
  </w:num>
  <w:num w:numId="33">
    <w:abstractNumId w:val="2"/>
  </w:num>
  <w:num w:numId="34">
    <w:abstractNumId w:val="43"/>
  </w:num>
  <w:num w:numId="35">
    <w:abstractNumId w:val="29"/>
  </w:num>
  <w:num w:numId="36">
    <w:abstractNumId w:val="27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5"/>
  </w:num>
  <w:num w:numId="43">
    <w:abstractNumId w:val="41"/>
  </w:num>
  <w:num w:numId="44">
    <w:abstractNumId w:val="16"/>
  </w:num>
  <w:num w:numId="45">
    <w:abstractNumId w:val="0"/>
  </w:num>
  <w:num w:numId="46">
    <w:abstractNumId w:val="34"/>
  </w:num>
  <w:num w:numId="4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1ABE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68</cp:revision>
  <cp:lastPrinted>2002-04-23T06:10:00Z</cp:lastPrinted>
  <dcterms:created xsi:type="dcterms:W3CDTF">2021-02-25T08:15:00Z</dcterms:created>
  <dcterms:modified xsi:type="dcterms:W3CDTF">2021-04-26T15:34:00Z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